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304B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1.1.1 The Institution emphasizes quality education through a structured process encompassing curriculum planning, academic calendar development, and continuous internal assessment.</w:t>
      </w:r>
    </w:p>
    <w:p w14:paraId="24DBB219" w14:textId="77777777" w:rsidR="003A1177" w:rsidRPr="003A1177" w:rsidRDefault="003A1177" w:rsidP="00D76A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institution maintains its affiliation with Mizoram University, and all academic programs adhere to the university's standards and guidelines.</w:t>
      </w:r>
    </w:p>
    <w:p w14:paraId="1B4C1E82" w14:textId="77777777" w:rsidR="003A1177" w:rsidRPr="003A1177" w:rsidRDefault="003A1177" w:rsidP="00D76A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This affiliation provides the institution with a structured educational framework to base its curriculum on, promoting academic rigor and quality.</w:t>
      </w:r>
    </w:p>
    <w:p w14:paraId="523B2842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1. Program Offerings</w:t>
      </w:r>
      <w:r w:rsidRPr="003A1177">
        <w:rPr>
          <w:rFonts w:eastAsia="Times New Roman"/>
          <w:kern w:val="0"/>
          <w14:ligatures w14:val="none"/>
        </w:rPr>
        <w:t>:</w:t>
      </w:r>
    </w:p>
    <w:p w14:paraId="42844D4F" w14:textId="77777777" w:rsidR="003A1177" w:rsidRPr="003A1177" w:rsidRDefault="003A1177" w:rsidP="00D76A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institution offers a range of programs, including Arts which spans nine subjects, and Commerce discipline (both UG and PG).</w:t>
      </w:r>
    </w:p>
    <w:p w14:paraId="6896A7AA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2. Flexible Scheduling</w:t>
      </w:r>
      <w:r w:rsidRPr="003A1177">
        <w:rPr>
          <w:rFonts w:eastAsia="Times New Roman"/>
          <w:kern w:val="0"/>
          <w14:ligatures w14:val="none"/>
        </w:rPr>
        <w:t>:</w:t>
      </w:r>
    </w:p>
    <w:p w14:paraId="76AB0809" w14:textId="77777777" w:rsidR="003A1177" w:rsidRPr="003A1177" w:rsidRDefault="003A1177" w:rsidP="00D76A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To enhance accessibility for students, especially in the Commerce program, the institution offers flexible day and morning shifts.</w:t>
      </w:r>
    </w:p>
    <w:p w14:paraId="1A6034F6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3. Academic and Examination Committee</w:t>
      </w:r>
      <w:r w:rsidRPr="003A1177">
        <w:rPr>
          <w:rFonts w:eastAsia="Times New Roman"/>
          <w:kern w:val="0"/>
          <w14:ligatures w14:val="none"/>
        </w:rPr>
        <w:t>:</w:t>
      </w:r>
    </w:p>
    <w:p w14:paraId="77DC8639" w14:textId="77777777" w:rsidR="003A1177" w:rsidRPr="003A1177" w:rsidRDefault="003A1177" w:rsidP="00D76A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Committee oversees curriculum planning, internal and external examination coordination, and evaluation.</w:t>
      </w:r>
    </w:p>
    <w:p w14:paraId="62163623" w14:textId="77777777" w:rsidR="003A1177" w:rsidRPr="003A1177" w:rsidRDefault="003A1177" w:rsidP="00D76A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Ensures alignment with Mizoram University's curriculum and timelines.</w:t>
      </w:r>
    </w:p>
    <w:p w14:paraId="0927B941" w14:textId="77777777" w:rsidR="003A1177" w:rsidRPr="003A1177" w:rsidRDefault="003A1177" w:rsidP="00D76A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Meticulously plans each subject's curriculum on a semester-wise basis.                                                             </w:t>
      </w:r>
    </w:p>
    <w:p w14:paraId="53FAB29A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4. </w:t>
      </w:r>
      <w:r w:rsidRPr="003A1177">
        <w:rPr>
          <w:rFonts w:eastAsia="Times New Roman"/>
          <w:b/>
          <w:bCs/>
          <w:kern w:val="0"/>
          <w14:ligatures w14:val="none"/>
        </w:rPr>
        <w:t>Teacher Involvement in Curriculum Design</w:t>
      </w:r>
      <w:r w:rsidRPr="003A1177">
        <w:rPr>
          <w:rFonts w:eastAsia="Times New Roman"/>
          <w:kern w:val="0"/>
          <w14:ligatures w14:val="none"/>
        </w:rPr>
        <w:t>:</w:t>
      </w:r>
    </w:p>
    <w:p w14:paraId="53A29C6E" w14:textId="77777777" w:rsidR="003A1177" w:rsidRPr="003A1177" w:rsidRDefault="003A1177" w:rsidP="00D76A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While the college follows a predetermined syllabus, teachers actively participate in the curriculum design process.</w:t>
      </w:r>
    </w:p>
    <w:p w14:paraId="205803AD" w14:textId="77777777" w:rsidR="003A1177" w:rsidRPr="003A1177" w:rsidRDefault="003A1177" w:rsidP="00D76A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Faculty members are not only consulted but also play integral roles as members of the Board of Studies.</w:t>
      </w:r>
    </w:p>
    <w:p w14:paraId="6B91C3E9" w14:textId="77777777" w:rsidR="003A1177" w:rsidRPr="003A1177" w:rsidRDefault="003A1177" w:rsidP="00D76A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This engagement ensures that the curriculum is finely tuned to meet the educational objectives and evolving needs of students.</w:t>
      </w:r>
    </w:p>
    <w:p w14:paraId="5215A719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5. Modern Teaching Tools</w:t>
      </w:r>
      <w:r w:rsidRPr="003A1177">
        <w:rPr>
          <w:rFonts w:eastAsia="Times New Roman"/>
          <w:kern w:val="0"/>
          <w14:ligatures w14:val="none"/>
        </w:rPr>
        <w:t>:</w:t>
      </w:r>
    </w:p>
    <w:p w14:paraId="23B841D3" w14:textId="77777777" w:rsidR="003A1177" w:rsidRPr="003A1177" w:rsidRDefault="003A1177" w:rsidP="00D76A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 xml:space="preserve">The institution prioritizes well-prepared traditional write-and-talk lectures </w:t>
      </w:r>
      <w:proofErr w:type="gramStart"/>
      <w:r w:rsidRPr="003A1177">
        <w:rPr>
          <w:rFonts w:eastAsia="Times New Roman"/>
          <w:kern w:val="0"/>
          <w14:ligatures w14:val="none"/>
        </w:rPr>
        <w:t>and  utilizes</w:t>
      </w:r>
      <w:proofErr w:type="gramEnd"/>
      <w:r w:rsidRPr="003A1177">
        <w:rPr>
          <w:rFonts w:eastAsia="Times New Roman"/>
          <w:kern w:val="0"/>
          <w14:ligatures w14:val="none"/>
        </w:rPr>
        <w:t xml:space="preserve"> modern tools like Digital Boards, LCD projectors in smart classrooms to foster engaging learning experiences.</w:t>
      </w:r>
    </w:p>
    <w:p w14:paraId="6EC20A06" w14:textId="77777777" w:rsidR="003A1177" w:rsidRPr="003A1177" w:rsidRDefault="003A1177" w:rsidP="00D76A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This blend of traditional teaching methods with technology enhances the quality of education.</w:t>
      </w:r>
    </w:p>
    <w:p w14:paraId="2507883C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6. Interactive Learning</w:t>
      </w:r>
      <w:r w:rsidRPr="003A1177">
        <w:rPr>
          <w:rFonts w:eastAsia="Times New Roman"/>
          <w:kern w:val="0"/>
          <w14:ligatures w14:val="none"/>
        </w:rPr>
        <w:t>:</w:t>
      </w:r>
    </w:p>
    <w:p w14:paraId="2D02299C" w14:textId="77777777" w:rsidR="003A1177" w:rsidRPr="003A1177" w:rsidRDefault="003A1177" w:rsidP="00D76A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lastRenderedPageBreak/>
        <w:t>In addition to lectures, the institution incorporates internal assessments, group discussions, seminars, and interactive sessions into its teaching approach.</w:t>
      </w:r>
    </w:p>
    <w:p w14:paraId="470307E9" w14:textId="77777777" w:rsidR="003A1177" w:rsidRPr="003A1177" w:rsidRDefault="003A1177" w:rsidP="00D76A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These methods promote active learning and a deeper understanding of the subject matter.</w:t>
      </w:r>
    </w:p>
    <w:p w14:paraId="5A533F00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7. Adaptation to Challenges</w:t>
      </w:r>
      <w:r w:rsidRPr="003A1177">
        <w:rPr>
          <w:rFonts w:eastAsia="Times New Roman"/>
          <w:kern w:val="0"/>
          <w14:ligatures w14:val="none"/>
        </w:rPr>
        <w:t>:</w:t>
      </w:r>
    </w:p>
    <w:p w14:paraId="46A4B62C" w14:textId="77777777" w:rsidR="003A1177" w:rsidRPr="003A1177" w:rsidRDefault="003A1177" w:rsidP="00D76A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institution displayed resilience during the COVID-19 pandemic by embracing innovative alternatives to traditional educational tours.</w:t>
      </w:r>
    </w:p>
    <w:p w14:paraId="37ED814A" w14:textId="77777777" w:rsidR="003A1177" w:rsidRPr="003A1177" w:rsidRDefault="003A1177" w:rsidP="00D76A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Online learning, facilitated through the College Management System, Learning Management Systems (LMS), and digital tools, showcased adaptability while upholding the commitment to quality education.</w:t>
      </w:r>
    </w:p>
    <w:p w14:paraId="2D85BC6A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8. Academic and Activity Calendars</w:t>
      </w:r>
      <w:r w:rsidRPr="003A1177">
        <w:rPr>
          <w:rFonts w:eastAsia="Times New Roman"/>
          <w:kern w:val="0"/>
          <w14:ligatures w14:val="none"/>
        </w:rPr>
        <w:t>:</w:t>
      </w:r>
    </w:p>
    <w:p w14:paraId="7E9A01C0" w14:textId="77777777" w:rsidR="003A1177" w:rsidRPr="003A1177" w:rsidRDefault="003A1177" w:rsidP="00D76A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institution meticulously prepares and adheres to Academic and Activity Calendars, ensuring the orderly execution of examinations and events.</w:t>
      </w:r>
    </w:p>
    <w:p w14:paraId="75421B62" w14:textId="77777777" w:rsidR="003A1177" w:rsidRPr="003A1177" w:rsidRDefault="003A1177" w:rsidP="00D76A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These calendars provide a clear roadmap for the entire academic year.</w:t>
      </w:r>
    </w:p>
    <w:p w14:paraId="04216987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9. Transparency and Effective Communication</w:t>
      </w:r>
      <w:r w:rsidRPr="003A1177">
        <w:rPr>
          <w:rFonts w:eastAsia="Times New Roman"/>
          <w:kern w:val="0"/>
          <w14:ligatures w14:val="none"/>
        </w:rPr>
        <w:t>:</w:t>
      </w:r>
    </w:p>
    <w:p w14:paraId="10DA1B51" w14:textId="77777777" w:rsidR="003A1177" w:rsidRPr="003A1177" w:rsidRDefault="003A1177" w:rsidP="00D76A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Admission and examination dates, determined by the Mizoram University Examination Department, are integrated into the institution's academic calendar.</w:t>
      </w:r>
    </w:p>
    <w:p w14:paraId="1A56998A" w14:textId="77777777" w:rsidR="003A1177" w:rsidRPr="003A1177" w:rsidRDefault="003A1177" w:rsidP="00D76A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academic calendar is not only displayed in the college prospectus but also communicated to all stakeholders, emphasizing transparency and effective communication.</w:t>
      </w:r>
    </w:p>
    <w:p w14:paraId="074D15EF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10. Continuous Internal Assessment (CIA)</w:t>
      </w:r>
      <w:r w:rsidRPr="003A1177">
        <w:rPr>
          <w:rFonts w:eastAsia="Times New Roman"/>
          <w:kern w:val="0"/>
          <w14:ligatures w14:val="none"/>
        </w:rPr>
        <w:t>:</w:t>
      </w:r>
    </w:p>
    <w:p w14:paraId="334F1A49" w14:textId="77777777" w:rsidR="003A1177" w:rsidRPr="003A1177" w:rsidRDefault="003A1177" w:rsidP="00D76A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The CIA system, aligned with directives from the Mizoram University Examination Department, forms an integral part of the institution's assessment process.</w:t>
      </w:r>
    </w:p>
    <w:p w14:paraId="7CB03FA7" w14:textId="77777777" w:rsidR="003A1177" w:rsidRPr="003A1177" w:rsidRDefault="003A1177" w:rsidP="00D76A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It mandates two internal examinations per semester, with a clear allocation of marks for attendance, home assignments, and internal exams.</w:t>
      </w:r>
    </w:p>
    <w:p w14:paraId="1086E168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b/>
          <w:bCs/>
          <w:kern w:val="0"/>
          <w14:ligatures w14:val="none"/>
        </w:rPr>
        <w:t>11. Academic Integrity and Fairness</w:t>
      </w:r>
      <w:r w:rsidRPr="003A1177">
        <w:rPr>
          <w:rFonts w:eastAsia="Times New Roman"/>
          <w:kern w:val="0"/>
          <w14:ligatures w14:val="none"/>
        </w:rPr>
        <w:t>:</w:t>
      </w:r>
    </w:p>
    <w:p w14:paraId="21821073" w14:textId="77777777" w:rsidR="003A1177" w:rsidRPr="003A1177" w:rsidRDefault="003A1177" w:rsidP="00D76A9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Marks obtained through CIA are consolidated and reviewed by the institutional Academic and Examination Committee and Moderation Committee to ensure academic integrity and fairness.</w:t>
      </w:r>
    </w:p>
    <w:p w14:paraId="15BDD210" w14:textId="77777777" w:rsidR="003A1177" w:rsidRPr="003A1177" w:rsidRDefault="003A1177" w:rsidP="00D76A9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>This process guarantees a consistent and credible assessment system, maintaining the institution's commitment to quality education and standardized evaluation practices.</w:t>
      </w:r>
    </w:p>
    <w:p w14:paraId="2E3071D3" w14:textId="77777777" w:rsidR="003A1177" w:rsidRPr="003A1177" w:rsidRDefault="003A1177" w:rsidP="00D76A97">
      <w:pPr>
        <w:spacing w:before="100" w:beforeAutospacing="1" w:after="100" w:afterAutospacing="1" w:line="240" w:lineRule="auto"/>
        <w:jc w:val="both"/>
        <w:rPr>
          <w:rFonts w:eastAsia="Times New Roman"/>
          <w:kern w:val="0"/>
          <w14:ligatures w14:val="none"/>
        </w:rPr>
      </w:pPr>
      <w:r w:rsidRPr="003A1177">
        <w:rPr>
          <w:rFonts w:eastAsia="Times New Roman"/>
          <w:kern w:val="0"/>
          <w14:ligatures w14:val="none"/>
        </w:rPr>
        <w:t xml:space="preserve">The institution's commitment to effective curriculum planning and delivery is enhanced by the active involvement of teachers in curriculum </w:t>
      </w:r>
      <w:proofErr w:type="spellStart"/>
      <w:proofErr w:type="gramStart"/>
      <w:r w:rsidRPr="003A1177">
        <w:rPr>
          <w:rFonts w:eastAsia="Times New Roman"/>
          <w:kern w:val="0"/>
          <w14:ligatures w14:val="none"/>
        </w:rPr>
        <w:t>design.These</w:t>
      </w:r>
      <w:proofErr w:type="spellEnd"/>
      <w:proofErr w:type="gramEnd"/>
      <w:r w:rsidRPr="003A1177">
        <w:rPr>
          <w:rFonts w:eastAsia="Times New Roman"/>
          <w:kern w:val="0"/>
          <w14:ligatures w14:val="none"/>
        </w:rPr>
        <w:t xml:space="preserve"> efforts, combined with transparent communication and adaptability, ensure that students receive a high-quality education that aligns with the standards set by Mizoram University and prepares them for success in their chosen fields.</w:t>
      </w:r>
    </w:p>
    <w:p w14:paraId="644495DC" w14:textId="77777777" w:rsidR="004647A9" w:rsidRDefault="004647A9" w:rsidP="00D76A97">
      <w:pPr>
        <w:jc w:val="both"/>
      </w:pPr>
    </w:p>
    <w:sectPr w:rsidR="0046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F44"/>
    <w:multiLevelType w:val="multilevel"/>
    <w:tmpl w:val="BC1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002A6"/>
    <w:multiLevelType w:val="multilevel"/>
    <w:tmpl w:val="ADD0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5DB3"/>
    <w:multiLevelType w:val="multilevel"/>
    <w:tmpl w:val="EFC6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C3CDD"/>
    <w:multiLevelType w:val="multilevel"/>
    <w:tmpl w:val="35E2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56F1B"/>
    <w:multiLevelType w:val="multilevel"/>
    <w:tmpl w:val="64A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307D0"/>
    <w:multiLevelType w:val="multilevel"/>
    <w:tmpl w:val="B222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82106"/>
    <w:multiLevelType w:val="multilevel"/>
    <w:tmpl w:val="52B8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5187A"/>
    <w:multiLevelType w:val="multilevel"/>
    <w:tmpl w:val="48DC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E27A3"/>
    <w:multiLevelType w:val="multilevel"/>
    <w:tmpl w:val="C54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336F8"/>
    <w:multiLevelType w:val="multilevel"/>
    <w:tmpl w:val="27B8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8209B"/>
    <w:multiLevelType w:val="multilevel"/>
    <w:tmpl w:val="38E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85F25"/>
    <w:multiLevelType w:val="multilevel"/>
    <w:tmpl w:val="B076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442409">
    <w:abstractNumId w:val="1"/>
  </w:num>
  <w:num w:numId="2" w16cid:durableId="1883319673">
    <w:abstractNumId w:val="5"/>
  </w:num>
  <w:num w:numId="3" w16cid:durableId="1397821332">
    <w:abstractNumId w:val="3"/>
  </w:num>
  <w:num w:numId="4" w16cid:durableId="349257426">
    <w:abstractNumId w:val="4"/>
  </w:num>
  <w:num w:numId="5" w16cid:durableId="3556005">
    <w:abstractNumId w:val="7"/>
  </w:num>
  <w:num w:numId="6" w16cid:durableId="946154811">
    <w:abstractNumId w:val="10"/>
  </w:num>
  <w:num w:numId="7" w16cid:durableId="1017583380">
    <w:abstractNumId w:val="11"/>
  </w:num>
  <w:num w:numId="8" w16cid:durableId="943613377">
    <w:abstractNumId w:val="0"/>
  </w:num>
  <w:num w:numId="9" w16cid:durableId="2120948111">
    <w:abstractNumId w:val="8"/>
  </w:num>
  <w:num w:numId="10" w16cid:durableId="190647937">
    <w:abstractNumId w:val="6"/>
  </w:num>
  <w:num w:numId="11" w16cid:durableId="348726930">
    <w:abstractNumId w:val="2"/>
  </w:num>
  <w:num w:numId="12" w16cid:durableId="10546166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F0"/>
    <w:rsid w:val="00354EF0"/>
    <w:rsid w:val="003A1177"/>
    <w:rsid w:val="004647A9"/>
    <w:rsid w:val="00D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52A1E-D64A-4730-827C-AA5086F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177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A1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Snail</dc:creator>
  <cp:keywords/>
  <dc:description/>
  <cp:lastModifiedBy>Kin Snail</cp:lastModifiedBy>
  <cp:revision>3</cp:revision>
  <dcterms:created xsi:type="dcterms:W3CDTF">2023-10-14T06:55:00Z</dcterms:created>
  <dcterms:modified xsi:type="dcterms:W3CDTF">2023-10-14T06:56:00Z</dcterms:modified>
</cp:coreProperties>
</file>